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0A5A51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68D11FF8" w:rsidR="00374BEA" w:rsidRPr="000A5A51" w:rsidRDefault="000D07E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Crime</w:t>
            </w:r>
            <w:r w:rsidR="00703B89">
              <w:rPr>
                <w:rFonts w:ascii="Arial" w:hAnsi="Arial" w:cs="Arial"/>
                <w:bCs/>
              </w:rPr>
              <w:t xml:space="preserve"> Insurance</w:t>
            </w:r>
            <w:r w:rsidR="00E248E9">
              <w:rPr>
                <w:rFonts w:ascii="Arial" w:hAnsi="Arial" w:cs="Arial"/>
                <w:bCs/>
              </w:rPr>
              <w:t xml:space="preserve"> v2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02E79649" w:rsidR="00374BEA" w:rsidRPr="00A64F64" w:rsidRDefault="000D07E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Crime</w:t>
            </w:r>
            <w:r w:rsidR="00703B89">
              <w:rPr>
                <w:rFonts w:ascii="Arial" w:hAnsi="Arial" w:cs="Arial"/>
                <w:bCs/>
              </w:rPr>
              <w:t xml:space="preserve">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62967393" w:rsidR="00374BEA" w:rsidRPr="00A64F64" w:rsidRDefault="00C36B9C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7F1A35A9" w:rsidR="00374BEA" w:rsidRPr="00A64F64" w:rsidRDefault="004F1502" w:rsidP="00821BED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</w:t>
            </w:r>
            <w:r w:rsidR="00821BED">
              <w:rPr>
                <w:rFonts w:ascii="Arial" w:hAnsi="Arial" w:cs="Arial"/>
                <w:bCs/>
              </w:rPr>
              <w:t xml:space="preserve"> 5</w:t>
            </w:r>
            <w:r w:rsidR="00B14CCC" w:rsidRPr="00DF6D3C">
              <w:rPr>
                <w:rFonts w:ascii="Arial" w:hAnsi="Arial" w:cs="Arial"/>
                <w:bCs/>
              </w:rPr>
              <w:t xml:space="preserve"> of the policy contains general terms</w:t>
            </w:r>
            <w:r w:rsidR="00821BED">
              <w:rPr>
                <w:rFonts w:ascii="Arial" w:hAnsi="Arial" w:cs="Arial"/>
                <w:bCs/>
              </w:rPr>
              <w:t xml:space="preserve"> and section 2 contains e</w:t>
            </w:r>
            <w:r w:rsidR="00821BED" w:rsidRPr="00821BED">
              <w:rPr>
                <w:rFonts w:ascii="Arial" w:hAnsi="Arial" w:cs="Arial"/>
                <w:bCs/>
              </w:rPr>
              <w:t xml:space="preserve">xclusions and </w:t>
            </w:r>
            <w:r w:rsidR="00821BED">
              <w:rPr>
                <w:rFonts w:ascii="Arial" w:hAnsi="Arial" w:cs="Arial"/>
                <w:bCs/>
              </w:rPr>
              <w:t>r</w:t>
            </w:r>
            <w:r w:rsidR="00821BED" w:rsidRPr="00821BED">
              <w:rPr>
                <w:rFonts w:ascii="Arial" w:hAnsi="Arial" w:cs="Arial"/>
                <w:bCs/>
              </w:rPr>
              <w:t xml:space="preserve">equired </w:t>
            </w:r>
            <w:r w:rsidR="00821BED">
              <w:rPr>
                <w:rFonts w:ascii="Arial" w:hAnsi="Arial" w:cs="Arial"/>
                <w:bCs/>
              </w:rPr>
              <w:t>p</w:t>
            </w:r>
            <w:r w:rsidR="00821BED" w:rsidRPr="00821BED">
              <w:rPr>
                <w:rFonts w:ascii="Arial" w:hAnsi="Arial" w:cs="Arial"/>
                <w:bCs/>
              </w:rPr>
              <w:t>recautions</w:t>
            </w:r>
            <w:r w:rsidR="00B14CCC" w:rsidRPr="00DF6D3C">
              <w:rPr>
                <w:rFonts w:ascii="Arial" w:hAnsi="Arial" w:cs="Arial"/>
                <w:bCs/>
              </w:rPr>
              <w:t>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468FED44" w:rsidR="00374BEA" w:rsidRPr="00A64F64" w:rsidRDefault="00C36B9C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4712D7A7" w14:textId="77777777" w:rsidR="006C1340" w:rsidRDefault="00D35B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6609F22" w14:textId="77777777" w:rsidR="006C1340" w:rsidRDefault="006C1340">
      <w:pPr>
        <w:rPr>
          <w:rFonts w:ascii="Arial" w:hAnsi="Arial" w:cs="Arial"/>
          <w:b/>
          <w:u w:val="single"/>
        </w:rPr>
      </w:pPr>
    </w:p>
    <w:p w14:paraId="40E4E012" w14:textId="77777777" w:rsidR="006C1340" w:rsidRDefault="006C1340">
      <w:pPr>
        <w:rPr>
          <w:rFonts w:ascii="Arial" w:hAnsi="Arial" w:cs="Arial"/>
          <w:b/>
          <w:u w:val="single"/>
        </w:rPr>
      </w:pPr>
    </w:p>
    <w:p w14:paraId="4FECC39D" w14:textId="77777777" w:rsidR="000D25D6" w:rsidRDefault="006C1340" w:rsidP="000D25D6">
      <w:pPr>
        <w:ind w:left="-567" w:right="-4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1BD02004" wp14:editId="2231DFD8">
            <wp:extent cx="5957180" cy="412039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327" cy="412948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2E7BF2C" w14:textId="6A295D4A" w:rsidR="006C1340" w:rsidRDefault="006C1340" w:rsidP="000D25D6">
      <w:pPr>
        <w:ind w:right="-4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2E5AE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66B9" w14:textId="77777777" w:rsidR="00DB3D5B" w:rsidRDefault="00DB3D5B" w:rsidP="00B3646C">
      <w:r>
        <w:separator/>
      </w:r>
    </w:p>
  </w:endnote>
  <w:endnote w:type="continuationSeparator" w:id="0">
    <w:p w14:paraId="029631BD" w14:textId="77777777" w:rsidR="00DB3D5B" w:rsidRDefault="00DB3D5B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F469" w14:textId="77777777" w:rsidR="00DB3D5B" w:rsidRDefault="00DB3D5B" w:rsidP="00B3646C">
      <w:r>
        <w:separator/>
      </w:r>
    </w:p>
  </w:footnote>
  <w:footnote w:type="continuationSeparator" w:id="0">
    <w:p w14:paraId="1459EBCA" w14:textId="77777777" w:rsidR="00DB3D5B" w:rsidRDefault="00DB3D5B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72987">
    <w:abstractNumId w:val="4"/>
  </w:num>
  <w:num w:numId="2" w16cid:durableId="1316110253">
    <w:abstractNumId w:val="7"/>
  </w:num>
  <w:num w:numId="3" w16cid:durableId="1586302253">
    <w:abstractNumId w:val="2"/>
  </w:num>
  <w:num w:numId="4" w16cid:durableId="226689317">
    <w:abstractNumId w:val="1"/>
  </w:num>
  <w:num w:numId="5" w16cid:durableId="1201086329">
    <w:abstractNumId w:val="6"/>
  </w:num>
  <w:num w:numId="6" w16cid:durableId="9014783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2136920">
    <w:abstractNumId w:val="9"/>
    <w:lvlOverride w:ilvl="0">
      <w:startOverride w:val="3"/>
    </w:lvlOverride>
  </w:num>
  <w:num w:numId="8" w16cid:durableId="378632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0916277">
    <w:abstractNumId w:val="3"/>
  </w:num>
  <w:num w:numId="10" w16cid:durableId="318118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935780">
    <w:abstractNumId w:val="8"/>
  </w:num>
  <w:num w:numId="12" w16cid:durableId="1297639791">
    <w:abstractNumId w:val="3"/>
  </w:num>
  <w:num w:numId="13" w16cid:durableId="213563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A5A51"/>
    <w:rsid w:val="000D0445"/>
    <w:rsid w:val="000D07EF"/>
    <w:rsid w:val="000D25D6"/>
    <w:rsid w:val="000F08CF"/>
    <w:rsid w:val="001509C9"/>
    <w:rsid w:val="00171D32"/>
    <w:rsid w:val="001A1C3A"/>
    <w:rsid w:val="001E152A"/>
    <w:rsid w:val="00216997"/>
    <w:rsid w:val="00217B48"/>
    <w:rsid w:val="00255F1D"/>
    <w:rsid w:val="00263F96"/>
    <w:rsid w:val="00292B71"/>
    <w:rsid w:val="00294021"/>
    <w:rsid w:val="002C505A"/>
    <w:rsid w:val="002D5CA9"/>
    <w:rsid w:val="002E3D7C"/>
    <w:rsid w:val="002E5AE4"/>
    <w:rsid w:val="00301448"/>
    <w:rsid w:val="003146A7"/>
    <w:rsid w:val="00374BEA"/>
    <w:rsid w:val="00381B7C"/>
    <w:rsid w:val="003A4CA7"/>
    <w:rsid w:val="003B5A37"/>
    <w:rsid w:val="004338E6"/>
    <w:rsid w:val="00456BE2"/>
    <w:rsid w:val="004E391B"/>
    <w:rsid w:val="004E482C"/>
    <w:rsid w:val="004F1502"/>
    <w:rsid w:val="00516DCB"/>
    <w:rsid w:val="00594B66"/>
    <w:rsid w:val="005A401C"/>
    <w:rsid w:val="005B510C"/>
    <w:rsid w:val="005C3AD1"/>
    <w:rsid w:val="005C567E"/>
    <w:rsid w:val="005C7AFB"/>
    <w:rsid w:val="005D10C0"/>
    <w:rsid w:val="006926D8"/>
    <w:rsid w:val="00693592"/>
    <w:rsid w:val="006C1340"/>
    <w:rsid w:val="006E19FD"/>
    <w:rsid w:val="00701F77"/>
    <w:rsid w:val="00703B89"/>
    <w:rsid w:val="00707C61"/>
    <w:rsid w:val="007240FC"/>
    <w:rsid w:val="007332FA"/>
    <w:rsid w:val="00741717"/>
    <w:rsid w:val="007E128C"/>
    <w:rsid w:val="007E310F"/>
    <w:rsid w:val="007E5387"/>
    <w:rsid w:val="0081310E"/>
    <w:rsid w:val="008215F1"/>
    <w:rsid w:val="00821BED"/>
    <w:rsid w:val="00840672"/>
    <w:rsid w:val="00844FC9"/>
    <w:rsid w:val="008716F2"/>
    <w:rsid w:val="008921C0"/>
    <w:rsid w:val="00913385"/>
    <w:rsid w:val="009404A6"/>
    <w:rsid w:val="009469C7"/>
    <w:rsid w:val="00986E66"/>
    <w:rsid w:val="009C5C33"/>
    <w:rsid w:val="00A06908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032B0"/>
    <w:rsid w:val="00B111C4"/>
    <w:rsid w:val="00B14CCC"/>
    <w:rsid w:val="00B3646C"/>
    <w:rsid w:val="00B47584"/>
    <w:rsid w:val="00B63D79"/>
    <w:rsid w:val="00BB1B7F"/>
    <w:rsid w:val="00BD542E"/>
    <w:rsid w:val="00C04D4E"/>
    <w:rsid w:val="00C36B9C"/>
    <w:rsid w:val="00C43039"/>
    <w:rsid w:val="00C45735"/>
    <w:rsid w:val="00C52EA2"/>
    <w:rsid w:val="00CD459E"/>
    <w:rsid w:val="00CF7AC8"/>
    <w:rsid w:val="00D12B26"/>
    <w:rsid w:val="00D35BB4"/>
    <w:rsid w:val="00D54339"/>
    <w:rsid w:val="00D62875"/>
    <w:rsid w:val="00D71912"/>
    <w:rsid w:val="00D7271A"/>
    <w:rsid w:val="00D94DC7"/>
    <w:rsid w:val="00DB3D5B"/>
    <w:rsid w:val="00DF0BB7"/>
    <w:rsid w:val="00DF6D3C"/>
    <w:rsid w:val="00E22F9A"/>
    <w:rsid w:val="00E248E9"/>
    <w:rsid w:val="00E602F2"/>
    <w:rsid w:val="00EB2E49"/>
    <w:rsid w:val="00EC44CA"/>
    <w:rsid w:val="00ED5E3F"/>
    <w:rsid w:val="00EE5148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14</cp:revision>
  <cp:lastPrinted>2022-04-21T14:59:00Z</cp:lastPrinted>
  <dcterms:created xsi:type="dcterms:W3CDTF">2022-07-20T13:00:00Z</dcterms:created>
  <dcterms:modified xsi:type="dcterms:W3CDTF">2023-08-04T12:15:00Z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