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Pr="0004154C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04154C">
        <w:rPr>
          <w:rFonts w:ascii="Arial" w:hAnsi="Arial" w:cs="Arial"/>
          <w:b/>
          <w:sz w:val="28"/>
          <w:szCs w:val="28"/>
        </w:rPr>
        <w:t>Product Value -</w:t>
      </w:r>
      <w:r w:rsidR="009469C7" w:rsidRPr="0004154C">
        <w:rPr>
          <w:rFonts w:ascii="Arial" w:hAnsi="Arial" w:cs="Arial"/>
          <w:b/>
          <w:sz w:val="28"/>
          <w:szCs w:val="28"/>
        </w:rPr>
        <w:t xml:space="preserve"> </w:t>
      </w:r>
      <w:r w:rsidRPr="0004154C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04154C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04154C" w:rsidRPr="0004154C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04154C" w:rsidRDefault="00374BEA" w:rsidP="001E03B7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04154C" w:rsidRDefault="00255F1D" w:rsidP="001E03B7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MPR Underwriting Limited</w:t>
            </w:r>
            <w:r w:rsidR="00456BE2" w:rsidRPr="0004154C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04154C" w:rsidRPr="0004154C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04154C" w:rsidRPr="004D3655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1DAF7151" w:rsidR="00374BEA" w:rsidRPr="004D3655" w:rsidRDefault="004526EB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Professional Indemnity</w:t>
            </w:r>
            <w:r w:rsidR="004D3655" w:rsidRPr="004D365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4154C" w:rsidRPr="0004154C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3BB40BFE" w:rsidR="00374BEA" w:rsidRPr="004D3655" w:rsidRDefault="00805C0B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Professional Indemnity</w:t>
            </w:r>
          </w:p>
        </w:tc>
      </w:tr>
      <w:tr w:rsidR="0004154C" w:rsidRPr="0004154C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0AA94CE0" w:rsidR="00374BEA" w:rsidRPr="004D3655" w:rsidRDefault="00273898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04154C" w:rsidRDefault="00374BEA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04154C" w:rsidRPr="0004154C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2703D0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2703D0">
              <w:rPr>
                <w:rFonts w:ascii="Arial" w:hAnsi="Arial" w:cs="Arial"/>
                <w:b/>
              </w:rPr>
              <w:t>Carrier Information</w:t>
            </w:r>
          </w:p>
        </w:tc>
      </w:tr>
      <w:tr w:rsidR="0004154C" w:rsidRPr="0004154C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2703D0" w:rsidRDefault="00374BEA" w:rsidP="001E03B7">
            <w:pPr>
              <w:rPr>
                <w:rFonts w:ascii="Arial" w:hAnsi="Arial" w:cs="Arial"/>
                <w:bCs/>
              </w:rPr>
            </w:pPr>
            <w:r w:rsidRPr="002703D0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04154C" w:rsidRPr="0004154C" w14:paraId="18F78B9B" w14:textId="77777777" w:rsidTr="00216997">
        <w:tc>
          <w:tcPr>
            <w:tcW w:w="9781" w:type="dxa"/>
            <w:gridSpan w:val="2"/>
          </w:tcPr>
          <w:p w14:paraId="452F0D28" w14:textId="77777777" w:rsidR="002703D0" w:rsidRPr="002703D0" w:rsidRDefault="002703D0" w:rsidP="002703D0">
            <w:pPr>
              <w:rPr>
                <w:rFonts w:ascii="Arial" w:hAnsi="Arial" w:cs="Arial"/>
                <w:b/>
                <w:u w:val="single"/>
              </w:rPr>
            </w:pPr>
            <w:r w:rsidRPr="002703D0">
              <w:rPr>
                <w:rFonts w:ascii="Arial" w:hAnsi="Arial" w:cs="Arial"/>
                <w:bCs/>
              </w:rPr>
              <w:t xml:space="preserve">Refer to the target market statement for this product. </w:t>
            </w:r>
          </w:p>
          <w:p w14:paraId="5E4BB1F9" w14:textId="77777777" w:rsidR="00374BEA" w:rsidRPr="002703D0" w:rsidRDefault="00374BEA" w:rsidP="00B07DA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1839E2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1839E2">
              <w:rPr>
                <w:rFonts w:ascii="Arial" w:hAnsi="Arial" w:cs="Arial"/>
                <w:bCs/>
              </w:rPr>
              <w:t>Target market</w:t>
            </w:r>
          </w:p>
        </w:tc>
      </w:tr>
      <w:tr w:rsidR="0004154C" w:rsidRPr="0004154C" w14:paraId="66182E6F" w14:textId="77777777" w:rsidTr="00216997">
        <w:tc>
          <w:tcPr>
            <w:tcW w:w="9781" w:type="dxa"/>
            <w:gridSpan w:val="2"/>
          </w:tcPr>
          <w:p w14:paraId="472044BE" w14:textId="2FCBE78D" w:rsidR="00374BEA" w:rsidRPr="001839E2" w:rsidRDefault="006C60EA" w:rsidP="006C60EA">
            <w:pPr>
              <w:rPr>
                <w:rFonts w:asciiTheme="minorBidi" w:hAnsiTheme="minorBidi" w:cstheme="minorBidi"/>
                <w:b/>
                <w:u w:val="single"/>
              </w:rPr>
            </w:pPr>
            <w:r w:rsidRPr="001839E2">
              <w:rPr>
                <w:rFonts w:asciiTheme="minorBidi" w:hAnsiTheme="minorBidi" w:cstheme="minorBidi"/>
                <w:bCs/>
              </w:rPr>
              <w:t xml:space="preserve">Any </w:t>
            </w:r>
            <w:r w:rsidR="00B71FD9" w:rsidRPr="00B71FD9">
              <w:rPr>
                <w:rFonts w:asciiTheme="minorBidi" w:hAnsiTheme="minorBidi" w:cstheme="minorBidi"/>
                <w:bCs/>
              </w:rPr>
              <w:t>professional firms or individual professional</w:t>
            </w:r>
            <w:r w:rsidR="00B71FD9">
              <w:rPr>
                <w:rFonts w:asciiTheme="minorBidi" w:hAnsiTheme="minorBidi" w:cstheme="minorBidi"/>
                <w:bCs/>
              </w:rPr>
              <w:t xml:space="preserve"> </w:t>
            </w:r>
            <w:r w:rsidRPr="001839E2">
              <w:rPr>
                <w:rFonts w:asciiTheme="minorBidi" w:hAnsiTheme="minorBidi" w:cstheme="minorBidi"/>
                <w:bCs/>
              </w:rPr>
              <w:t xml:space="preserve">which generates income from the provision of a </w:t>
            </w:r>
            <w:r w:rsidR="00607A77">
              <w:rPr>
                <w:rFonts w:asciiTheme="minorBidi" w:hAnsiTheme="minorBidi" w:cstheme="minorBidi"/>
                <w:bCs/>
              </w:rPr>
              <w:t>professional</w:t>
            </w:r>
            <w:r w:rsidRPr="001839E2">
              <w:rPr>
                <w:rFonts w:asciiTheme="minorBidi" w:hAnsiTheme="minorBidi" w:cstheme="minorBidi"/>
                <w:bCs/>
              </w:rPr>
              <w:t xml:space="preserve"> service.</w:t>
            </w:r>
          </w:p>
          <w:p w14:paraId="0BA578CE" w14:textId="77777777" w:rsidR="00374BEA" w:rsidRPr="001839E2" w:rsidRDefault="00374BEA" w:rsidP="00B918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1839E2" w:rsidRDefault="00374BEA" w:rsidP="001E03B7">
            <w:pPr>
              <w:rPr>
                <w:rFonts w:ascii="Arial" w:hAnsi="Arial" w:cs="Arial"/>
                <w:bCs/>
              </w:rPr>
            </w:pPr>
            <w:r w:rsidRPr="001839E2">
              <w:rPr>
                <w:rFonts w:ascii="Arial" w:hAnsi="Arial" w:cs="Arial"/>
                <w:bCs/>
              </w:rPr>
              <w:t xml:space="preserve">Types of </w:t>
            </w:r>
            <w:proofErr w:type="gramStart"/>
            <w:r w:rsidRPr="001839E2">
              <w:rPr>
                <w:rFonts w:ascii="Arial" w:hAnsi="Arial" w:cs="Arial"/>
                <w:bCs/>
              </w:rPr>
              <w:t>customer</w:t>
            </w:r>
            <w:proofErr w:type="gramEnd"/>
            <w:r w:rsidRPr="001839E2">
              <w:rPr>
                <w:rFonts w:ascii="Arial" w:hAnsi="Arial" w:cs="Arial"/>
                <w:bCs/>
              </w:rPr>
              <w:t xml:space="preserve"> for whom the product would be unsuitable</w:t>
            </w:r>
          </w:p>
        </w:tc>
      </w:tr>
      <w:tr w:rsidR="0004154C" w:rsidRPr="0004154C" w14:paraId="44F8E17D" w14:textId="77777777" w:rsidTr="00216997">
        <w:tc>
          <w:tcPr>
            <w:tcW w:w="9781" w:type="dxa"/>
            <w:gridSpan w:val="2"/>
          </w:tcPr>
          <w:p w14:paraId="3BB0E590" w14:textId="144E2144" w:rsidR="00374BEA" w:rsidRPr="001839E2" w:rsidRDefault="007D6C62" w:rsidP="007D6C62">
            <w:pPr>
              <w:rPr>
                <w:rFonts w:ascii="Arial" w:hAnsi="Arial" w:cs="Arial"/>
                <w:bCs/>
              </w:rPr>
            </w:pPr>
            <w:r w:rsidRPr="001839E2">
              <w:rPr>
                <w:rFonts w:ascii="Arial" w:hAnsi="Arial" w:cs="Arial"/>
                <w:bCs/>
              </w:rPr>
              <w:t xml:space="preserve">Customers who </w:t>
            </w:r>
            <w:r w:rsidR="001839E2" w:rsidRPr="001839E2">
              <w:rPr>
                <w:rFonts w:ascii="Arial" w:hAnsi="Arial" w:cs="Arial"/>
                <w:bCs/>
              </w:rPr>
              <w:t xml:space="preserve">do not generate income from the provision of </w:t>
            </w:r>
            <w:r w:rsidR="004526EB">
              <w:rPr>
                <w:rFonts w:ascii="Arial" w:hAnsi="Arial" w:cs="Arial"/>
                <w:bCs/>
              </w:rPr>
              <w:t>professional services</w:t>
            </w:r>
            <w:r w:rsidR="001839E2" w:rsidRPr="001839E2">
              <w:rPr>
                <w:rFonts w:ascii="Arial" w:hAnsi="Arial" w:cs="Arial"/>
                <w:bCs/>
              </w:rPr>
              <w:t>.</w:t>
            </w:r>
            <w:r w:rsidRPr="001839E2">
              <w:rPr>
                <w:rFonts w:ascii="Arial" w:hAnsi="Arial" w:cs="Arial"/>
                <w:bCs/>
              </w:rPr>
              <w:t xml:space="preserve"> </w:t>
            </w:r>
            <w:r w:rsidR="001D0172" w:rsidRPr="001D0172">
              <w:rPr>
                <w:rFonts w:ascii="Arial" w:hAnsi="Arial" w:cs="Arial"/>
                <w:bCs/>
              </w:rPr>
              <w:t>Customers can be professional firms or individual professionals but always covering their professional activity rather than any personal liability.</w:t>
            </w:r>
          </w:p>
          <w:p w14:paraId="16B1FB0D" w14:textId="77777777" w:rsidR="00374BEA" w:rsidRPr="001839E2" w:rsidRDefault="00374BEA" w:rsidP="00B918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676ED7" w:rsidRDefault="00374BEA" w:rsidP="001E03B7">
            <w:pPr>
              <w:rPr>
                <w:rFonts w:ascii="Arial" w:hAnsi="Arial" w:cs="Arial"/>
                <w:bCs/>
              </w:rPr>
            </w:pPr>
            <w:r w:rsidRPr="00676ED7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04154C" w:rsidRPr="0004154C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676ED7" w:rsidRDefault="00374BEA" w:rsidP="001E03B7">
            <w:pPr>
              <w:rPr>
                <w:rFonts w:ascii="Arial" w:hAnsi="Arial" w:cs="Arial"/>
                <w:bCs/>
              </w:rPr>
            </w:pPr>
          </w:p>
          <w:p w14:paraId="131D9237" w14:textId="28029E31" w:rsidR="00845807" w:rsidRDefault="00845807" w:rsidP="005060F0">
            <w:pPr>
              <w:rPr>
                <w:rFonts w:ascii="Arial" w:hAnsi="Arial" w:cs="Arial"/>
                <w:bCs/>
              </w:rPr>
            </w:pPr>
            <w:r w:rsidRPr="00845807">
              <w:rPr>
                <w:rFonts w:ascii="Arial" w:hAnsi="Arial" w:cs="Arial"/>
                <w:bCs/>
              </w:rPr>
              <w:t>Refer to the policy document</w:t>
            </w:r>
            <w:r w:rsidR="00805C0B">
              <w:rPr>
                <w:rFonts w:ascii="Arial" w:hAnsi="Arial" w:cs="Arial"/>
                <w:bCs/>
              </w:rPr>
              <w:t>s</w:t>
            </w:r>
            <w:r w:rsidRPr="00845807">
              <w:rPr>
                <w:rFonts w:ascii="Arial" w:hAnsi="Arial" w:cs="Arial"/>
                <w:bCs/>
              </w:rPr>
              <w:t xml:space="preserve"> for this product for full details</w:t>
            </w:r>
            <w:r w:rsidR="00805C0B">
              <w:rPr>
                <w:rFonts w:ascii="Arial" w:hAnsi="Arial" w:cs="Arial"/>
                <w:bCs/>
              </w:rPr>
              <w:t>.</w:t>
            </w:r>
          </w:p>
          <w:p w14:paraId="53E8D902" w14:textId="77777777" w:rsidR="00845807" w:rsidRDefault="00845807" w:rsidP="005060F0">
            <w:pPr>
              <w:rPr>
                <w:rFonts w:ascii="Arial" w:hAnsi="Arial" w:cs="Arial"/>
                <w:bCs/>
              </w:rPr>
            </w:pPr>
          </w:p>
          <w:p w14:paraId="01DBE8EC" w14:textId="53FFB05C" w:rsidR="005060F0" w:rsidRDefault="005060F0" w:rsidP="005060F0">
            <w:pPr>
              <w:rPr>
                <w:rFonts w:ascii="Arial" w:hAnsi="Arial" w:cs="Arial"/>
                <w:bCs/>
              </w:rPr>
            </w:pPr>
            <w:r w:rsidRPr="005060F0">
              <w:rPr>
                <w:rFonts w:ascii="Arial" w:hAnsi="Arial" w:cs="Arial"/>
                <w:bCs/>
              </w:rPr>
              <w:t>Losses incurred by the insured (first party losses) are not covered (with some exceptions as outlined in the policy)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24B246FE" w14:textId="77777777" w:rsidR="005060F0" w:rsidRDefault="005060F0" w:rsidP="005060F0">
            <w:pPr>
              <w:rPr>
                <w:rFonts w:ascii="Arial" w:hAnsi="Arial" w:cs="Arial"/>
                <w:bCs/>
              </w:rPr>
            </w:pPr>
          </w:p>
          <w:p w14:paraId="2FD40629" w14:textId="077B7F84" w:rsidR="00374BEA" w:rsidRDefault="005060F0" w:rsidP="005060F0">
            <w:pPr>
              <w:rPr>
                <w:rFonts w:ascii="Arial" w:hAnsi="Arial" w:cs="Arial"/>
                <w:bCs/>
              </w:rPr>
            </w:pPr>
            <w:r w:rsidRPr="005060F0">
              <w:rPr>
                <w:rFonts w:ascii="Arial" w:hAnsi="Arial" w:cs="Arial"/>
                <w:bCs/>
              </w:rPr>
              <w:t>Other exclusions apply as set out in the policy</w:t>
            </w:r>
            <w:r w:rsidR="00805C0B">
              <w:rPr>
                <w:rFonts w:ascii="Arial" w:hAnsi="Arial" w:cs="Arial"/>
                <w:bCs/>
              </w:rPr>
              <w:t>.</w:t>
            </w:r>
          </w:p>
          <w:p w14:paraId="5623638E" w14:textId="665A4348" w:rsidR="005060F0" w:rsidRPr="00676ED7" w:rsidRDefault="005060F0" w:rsidP="005060F0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B918F1" w:rsidRDefault="00374BEA" w:rsidP="001E03B7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04154C" w:rsidRPr="0004154C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B918F1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06499101" w:rsidR="00374BEA" w:rsidRPr="00B918F1" w:rsidRDefault="00DF6D3C" w:rsidP="00DF6D3C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 w:rsidRPr="00B918F1">
              <w:rPr>
                <w:rFonts w:ascii="Arial" w:hAnsi="Arial" w:cs="Arial"/>
                <w:bCs/>
              </w:rPr>
              <w:t>ed</w:t>
            </w:r>
            <w:r w:rsidRPr="00B918F1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="007B2BFF" w:rsidRPr="007B2BFF">
                <w:rPr>
                  <w:rStyle w:val="Hyperlink"/>
                  <w:rFonts w:asciiTheme="minorBidi" w:hAnsiTheme="minorBidi" w:cstheme="minorBidi"/>
                </w:rPr>
                <w:t>MPR Underwriting</w:t>
              </w:r>
            </w:hyperlink>
            <w:r w:rsidRPr="00B918F1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B918F1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B918F1" w:rsidRDefault="00374BEA" w:rsidP="001E03B7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4DD85920" w:rsidR="00374BEA" w:rsidRPr="00B918F1" w:rsidRDefault="006B3DF2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Pr="0004154C" w:rsidRDefault="00374BEA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3B936F5D" w14:textId="77777777" w:rsidR="00A64F64" w:rsidRPr="0004154C" w:rsidRDefault="00A64F6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04154C" w:rsidRPr="0004154C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4D3655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 w:rsidRPr="004D3655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04154C" w:rsidRPr="0004154C" w14:paraId="288AA35A" w14:textId="77777777" w:rsidTr="00216997">
        <w:tc>
          <w:tcPr>
            <w:tcW w:w="9781" w:type="dxa"/>
          </w:tcPr>
          <w:p w14:paraId="7A3C56F1" w14:textId="78F6FAAB" w:rsidR="00707C61" w:rsidRPr="004D3655" w:rsidRDefault="00CF7AC8" w:rsidP="00CF7AC8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 xml:space="preserve">MPR </w:t>
            </w:r>
            <w:r w:rsidR="00456BE2" w:rsidRPr="004D3655">
              <w:rPr>
                <w:rFonts w:ascii="Arial" w:hAnsi="Arial" w:cs="Arial"/>
                <w:bCs/>
              </w:rPr>
              <w:t>are</w:t>
            </w:r>
            <w:r w:rsidRPr="004D3655">
              <w:rPr>
                <w:rFonts w:ascii="Arial" w:hAnsi="Arial" w:cs="Arial"/>
                <w:bCs/>
              </w:rPr>
              <w:t xml:space="preserve"> the </w:t>
            </w:r>
            <w:r w:rsidR="00707C61" w:rsidRPr="004D3655">
              <w:rPr>
                <w:rFonts w:ascii="Arial" w:hAnsi="Arial" w:cs="Arial"/>
                <w:bCs/>
              </w:rPr>
              <w:t>product manufacturer</w:t>
            </w:r>
            <w:r w:rsidRPr="004D3655"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Pr="004D3655" w:rsidRDefault="00CF7AC8" w:rsidP="00CF7AC8"/>
          <w:p w14:paraId="77E05D66" w14:textId="3CAB1232" w:rsidR="00707C61" w:rsidRPr="004D3655" w:rsidRDefault="00CF7AC8" w:rsidP="00CF7AC8">
            <w:pPr>
              <w:rPr>
                <w:rFonts w:asciiTheme="minorBidi" w:hAnsiTheme="minorBidi" w:cstheme="minorBidi"/>
              </w:rPr>
            </w:pPr>
            <w:r w:rsidRPr="004D3655">
              <w:rPr>
                <w:rFonts w:ascii="Arial" w:hAnsi="Arial" w:cs="Arial"/>
                <w:bCs/>
              </w:rPr>
              <w:t xml:space="preserve">MPR </w:t>
            </w:r>
            <w:r w:rsidRPr="004D3655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4D3655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4D3655">
              <w:rPr>
                <w:rFonts w:asciiTheme="minorBidi" w:hAnsiTheme="minorBidi" w:cstheme="minorBidi"/>
              </w:rPr>
              <w:t xml:space="preserve">this </w:t>
            </w:r>
            <w:r w:rsidR="00707C61" w:rsidRPr="004D3655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Pr="004D3655" w:rsidRDefault="00456BE2" w:rsidP="00CF7AC8"/>
          <w:p w14:paraId="4F2BDFEC" w14:textId="77777777" w:rsidR="008215F1" w:rsidRPr="004D3655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4D3655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4D3655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4D3655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Regular monitoring and </w:t>
            </w:r>
            <w:r w:rsidR="00707C6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Consider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4D3655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4D3655" w:rsidRDefault="00707C61" w:rsidP="00701F77">
            <w:pPr>
              <w:rPr>
                <w:rFonts w:asciiTheme="minorBidi" w:hAnsiTheme="minorBidi" w:cstheme="minorBidi"/>
              </w:rPr>
            </w:pPr>
            <w:r w:rsidRPr="004D3655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4D3655">
              <w:rPr>
                <w:rFonts w:asciiTheme="minorBidi" w:hAnsiTheme="minorBidi" w:cstheme="minorBidi"/>
              </w:rPr>
              <w:t xml:space="preserve">that this </w:t>
            </w:r>
            <w:r w:rsidRPr="004D3655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4D3655">
              <w:rPr>
                <w:rFonts w:asciiTheme="minorBidi" w:hAnsiTheme="minorBidi" w:cstheme="minorBidi"/>
              </w:rPr>
              <w:t xml:space="preserve">and that it will </w:t>
            </w:r>
            <w:r w:rsidRPr="004D3655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4D3655">
              <w:rPr>
                <w:rFonts w:asciiTheme="minorBidi" w:hAnsiTheme="minorBidi" w:cstheme="minorBidi"/>
              </w:rPr>
              <w:t xml:space="preserve">. We regularly </w:t>
            </w:r>
            <w:r w:rsidRPr="004D3655">
              <w:rPr>
                <w:rFonts w:asciiTheme="minorBidi" w:hAnsiTheme="minorBidi" w:cstheme="minorBidi"/>
              </w:rPr>
              <w:t>consider</w:t>
            </w:r>
            <w:r w:rsidR="00EC44CA" w:rsidRPr="004D3655">
              <w:rPr>
                <w:rFonts w:asciiTheme="minorBidi" w:hAnsiTheme="minorBidi" w:cstheme="minorBidi"/>
              </w:rPr>
              <w:t xml:space="preserve"> our </w:t>
            </w:r>
            <w:r w:rsidRPr="004D3655">
              <w:rPr>
                <w:rFonts w:asciiTheme="minorBidi" w:hAnsiTheme="minorBidi" w:cstheme="minorBidi"/>
              </w:rPr>
              <w:t>pricing model used to calculate the risk premium:</w:t>
            </w:r>
          </w:p>
          <w:p w14:paraId="50915405" w14:textId="77777777" w:rsidR="00516DCB" w:rsidRPr="004D3655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4D3655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4D3655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4D3655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Pr="004D3655" w:rsidRDefault="00516DCB" w:rsidP="00516DCB"/>
          <w:p w14:paraId="27070CA8" w14:textId="77777777" w:rsidR="008716F2" w:rsidRPr="004D3655" w:rsidRDefault="008716F2" w:rsidP="00516DCB"/>
          <w:p w14:paraId="72401CEB" w14:textId="1787C221" w:rsidR="00374BEA" w:rsidRPr="004D3655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4D3655">
                <w:rPr>
                  <w:rStyle w:val="Hyperlink"/>
                  <w:rFonts w:ascii="Arial" w:hAnsi="Arial" w:cs="Arial"/>
                  <w:bCs/>
                  <w:color w:val="auto"/>
                </w:rPr>
                <w:t>www.mprunderwriing.com</w:t>
              </w:r>
            </w:hyperlink>
          </w:p>
          <w:p w14:paraId="3B5B30B6" w14:textId="49D3EAAC" w:rsidR="00A80F1B" w:rsidRPr="004D3655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Pr="004D3655" w:rsidRDefault="00A80F1B" w:rsidP="00A80F1B">
            <w:pPr>
              <w:pStyle w:val="Default"/>
              <w:jc w:val="center"/>
              <w:rPr>
                <w:b/>
                <w:bCs/>
                <w:color w:val="auto"/>
                <w:sz w:val="44"/>
                <w:szCs w:val="44"/>
                <w:lang w:val="en-US"/>
              </w:rPr>
            </w:pPr>
            <w:r w:rsidRPr="004D3655">
              <w:rPr>
                <w:noProof/>
                <w:color w:val="auto"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55">
              <w:rPr>
                <w:b/>
                <w:bCs/>
                <w:color w:val="auto"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4D3655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40"/>
                <w:szCs w:val="40"/>
              </w:rPr>
            </w:pPr>
            <w:r w:rsidRPr="004D3655">
              <w:rPr>
                <w:rFonts w:ascii="Georgia" w:hAnsi="Georgia" w:cs="Times New Roman"/>
                <w:color w:val="auto"/>
                <w:sz w:val="40"/>
                <w:szCs w:val="40"/>
              </w:rPr>
              <w:t xml:space="preserve">To be solid, insurance must be </w:t>
            </w:r>
            <w:proofErr w:type="gramStart"/>
            <w:r w:rsidRPr="004D3655">
              <w:rPr>
                <w:rFonts w:ascii="Georgia" w:hAnsi="Georgia" w:cs="Times New Roman"/>
                <w:color w:val="auto"/>
                <w:sz w:val="40"/>
                <w:szCs w:val="40"/>
              </w:rPr>
              <w:t>flexible</w:t>
            </w:r>
            <w:proofErr w:type="gramEnd"/>
          </w:p>
          <w:p w14:paraId="295E7A68" w14:textId="7248E9D9" w:rsidR="00A64F64" w:rsidRPr="004D3655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4154C" w:rsidRPr="0004154C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04154C" w:rsidRDefault="00374BEA" w:rsidP="001E03B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bookmarkEnd w:id="0"/>
    </w:tbl>
    <w:p w14:paraId="1A6F5290" w14:textId="2B4F7057" w:rsidR="00D35BB4" w:rsidRPr="0004154C" w:rsidRDefault="00D35BB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1958CEE" w14:textId="77777777" w:rsidR="00D35BB4" w:rsidRPr="0004154C" w:rsidRDefault="00D35BB4">
      <w:pPr>
        <w:rPr>
          <w:rFonts w:ascii="Arial" w:hAnsi="Arial" w:cs="Arial"/>
          <w:b/>
          <w:color w:val="FF0000"/>
          <w:u w:val="single"/>
        </w:rPr>
      </w:pPr>
      <w:r w:rsidRPr="0004154C">
        <w:rPr>
          <w:rFonts w:ascii="Arial" w:hAnsi="Arial" w:cs="Arial"/>
          <w:b/>
          <w:color w:val="FF0000"/>
          <w:u w:val="single"/>
        </w:rPr>
        <w:br w:type="page"/>
      </w:r>
    </w:p>
    <w:p w14:paraId="073A6715" w14:textId="081EBFE8" w:rsidR="005A401C" w:rsidRDefault="00AA0CBF" w:rsidP="00AA0CBF">
      <w:pPr>
        <w:ind w:left="-567" w:right="-48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1EB4EE2A" wp14:editId="099C4226">
            <wp:extent cx="5930064" cy="4105209"/>
            <wp:effectExtent l="0" t="0" r="1270" b="0"/>
            <wp:docPr id="566339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33954" name="Picture 5663395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239" cy="411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267B" w14:textId="4127030C" w:rsidR="00AA0CBF" w:rsidRPr="0004154C" w:rsidRDefault="00AA0CBF" w:rsidP="00AA0C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lastRenderedPageBreak/>
              <w:t>Broker Information</w:t>
            </w:r>
          </w:p>
        </w:tc>
      </w:tr>
      <w:tr w:rsidR="0004154C" w:rsidRPr="0004154C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Pr="0004154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04154C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04154C">
              <w:rPr>
                <w:rFonts w:ascii="Arial" w:hAnsi="Arial" w:cs="Arial"/>
                <w:i/>
                <w:iCs/>
              </w:rPr>
              <w:t xml:space="preserve"> t</w:t>
            </w:r>
            <w:r w:rsidRPr="0004154C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04154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51AE9" w:rsidRPr="0004154C" w14:paraId="40EBC86E" w14:textId="77777777" w:rsidTr="00A11611">
        <w:tc>
          <w:tcPr>
            <w:tcW w:w="9781" w:type="dxa"/>
            <w:gridSpan w:val="4"/>
          </w:tcPr>
          <w:p w14:paraId="168329EB" w14:textId="77777777" w:rsidR="00551AE9" w:rsidRPr="0004154C" w:rsidRDefault="00551AE9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4154C" w:rsidRPr="0004154C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04154C" w:rsidRPr="0004154C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04154C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04154C" w:rsidRPr="0004154C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04154C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04154C" w:rsidRPr="0004154C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04154C" w:rsidRPr="0004154C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B2BFF" w:rsidRPr="007B2BFF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7B2BFF" w:rsidRDefault="005A401C" w:rsidP="00A11611">
            <w:pPr>
              <w:rPr>
                <w:rFonts w:ascii="Arial" w:hAnsi="Arial" w:cs="Arial"/>
              </w:rPr>
            </w:pPr>
            <w:r w:rsidRPr="007B2BFF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7B2BFF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7B2BFF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7B2BFF" w:rsidRDefault="005A401C" w:rsidP="00A11611">
            <w:pPr>
              <w:jc w:val="center"/>
              <w:rPr>
                <w:rFonts w:ascii="Arial" w:hAnsi="Arial" w:cs="Arial"/>
              </w:rPr>
            </w:pPr>
            <w:r w:rsidRPr="007B2BF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7B2BFF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7B2BFF" w:rsidRDefault="005A401C" w:rsidP="00A11611">
            <w:pPr>
              <w:jc w:val="center"/>
              <w:rPr>
                <w:rFonts w:ascii="Arial" w:hAnsi="Arial" w:cs="Arial"/>
              </w:rPr>
            </w:pPr>
            <w:r w:rsidRPr="007B2BFF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Pr="0004154C" w:rsidRDefault="005A401C" w:rsidP="005A401C">
      <w:pPr>
        <w:rPr>
          <w:color w:val="FF0000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04154C" w:rsidRPr="0004154C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04154C" w:rsidRDefault="00217B48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sectPr w:rsidR="00217B48" w:rsidRPr="0004154C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29C4" w14:textId="77777777" w:rsidR="003541CF" w:rsidRDefault="003541CF" w:rsidP="00B3646C">
      <w:r>
        <w:separator/>
      </w:r>
    </w:p>
  </w:endnote>
  <w:endnote w:type="continuationSeparator" w:id="0">
    <w:p w14:paraId="15A24708" w14:textId="77777777" w:rsidR="003541CF" w:rsidRDefault="003541CF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14C0" w14:textId="77777777" w:rsidR="003541CF" w:rsidRDefault="003541CF" w:rsidP="00B3646C">
      <w:r>
        <w:separator/>
      </w:r>
    </w:p>
  </w:footnote>
  <w:footnote w:type="continuationSeparator" w:id="0">
    <w:p w14:paraId="249C83F8" w14:textId="77777777" w:rsidR="003541CF" w:rsidRDefault="003541CF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95129">
    <w:abstractNumId w:val="4"/>
  </w:num>
  <w:num w:numId="2" w16cid:durableId="388726336">
    <w:abstractNumId w:val="7"/>
  </w:num>
  <w:num w:numId="3" w16cid:durableId="998192930">
    <w:abstractNumId w:val="2"/>
  </w:num>
  <w:num w:numId="4" w16cid:durableId="1337153155">
    <w:abstractNumId w:val="1"/>
  </w:num>
  <w:num w:numId="5" w16cid:durableId="1879661222">
    <w:abstractNumId w:val="6"/>
  </w:num>
  <w:num w:numId="6" w16cid:durableId="214068606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6278232">
    <w:abstractNumId w:val="9"/>
    <w:lvlOverride w:ilvl="0">
      <w:startOverride w:val="3"/>
    </w:lvlOverride>
  </w:num>
  <w:num w:numId="8" w16cid:durableId="21436957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5703960">
    <w:abstractNumId w:val="3"/>
  </w:num>
  <w:num w:numId="10" w16cid:durableId="1595867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0235696">
    <w:abstractNumId w:val="8"/>
  </w:num>
  <w:num w:numId="12" w16cid:durableId="821701110">
    <w:abstractNumId w:val="3"/>
  </w:num>
  <w:num w:numId="13" w16cid:durableId="127035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4154C"/>
    <w:rsid w:val="00060771"/>
    <w:rsid w:val="0006670E"/>
    <w:rsid w:val="000722A7"/>
    <w:rsid w:val="000863A4"/>
    <w:rsid w:val="000A5A51"/>
    <w:rsid w:val="000D0445"/>
    <w:rsid w:val="000D07EF"/>
    <w:rsid w:val="000F08CF"/>
    <w:rsid w:val="0011705A"/>
    <w:rsid w:val="001509C9"/>
    <w:rsid w:val="0015378C"/>
    <w:rsid w:val="00171D32"/>
    <w:rsid w:val="001839E2"/>
    <w:rsid w:val="00197EE7"/>
    <w:rsid w:val="001A1C3A"/>
    <w:rsid w:val="001C1B56"/>
    <w:rsid w:val="001D0172"/>
    <w:rsid w:val="001E152A"/>
    <w:rsid w:val="00216997"/>
    <w:rsid w:val="00217B48"/>
    <w:rsid w:val="00255F1D"/>
    <w:rsid w:val="00263F96"/>
    <w:rsid w:val="002703D0"/>
    <w:rsid w:val="00273898"/>
    <w:rsid w:val="00292B71"/>
    <w:rsid w:val="00294021"/>
    <w:rsid w:val="002C505A"/>
    <w:rsid w:val="002D5CA9"/>
    <w:rsid w:val="002D7778"/>
    <w:rsid w:val="002E3D7C"/>
    <w:rsid w:val="00301448"/>
    <w:rsid w:val="0031297D"/>
    <w:rsid w:val="003146A7"/>
    <w:rsid w:val="00353CBE"/>
    <w:rsid w:val="003541CF"/>
    <w:rsid w:val="00374BEA"/>
    <w:rsid w:val="00381B7C"/>
    <w:rsid w:val="003A4CA7"/>
    <w:rsid w:val="004338E6"/>
    <w:rsid w:val="004526EB"/>
    <w:rsid w:val="00456BE2"/>
    <w:rsid w:val="004D3655"/>
    <w:rsid w:val="004E391B"/>
    <w:rsid w:val="004E482C"/>
    <w:rsid w:val="004F1502"/>
    <w:rsid w:val="004F302C"/>
    <w:rsid w:val="005060F0"/>
    <w:rsid w:val="00516DCB"/>
    <w:rsid w:val="00551AE9"/>
    <w:rsid w:val="00566AD0"/>
    <w:rsid w:val="00594B66"/>
    <w:rsid w:val="005A401C"/>
    <w:rsid w:val="005B510C"/>
    <w:rsid w:val="005C567E"/>
    <w:rsid w:val="005C7AFB"/>
    <w:rsid w:val="00607A77"/>
    <w:rsid w:val="00624216"/>
    <w:rsid w:val="00676ED7"/>
    <w:rsid w:val="006926D8"/>
    <w:rsid w:val="00693592"/>
    <w:rsid w:val="006B3DF2"/>
    <w:rsid w:val="006C60EA"/>
    <w:rsid w:val="006E19FD"/>
    <w:rsid w:val="00701F77"/>
    <w:rsid w:val="00707C61"/>
    <w:rsid w:val="007240FC"/>
    <w:rsid w:val="007332FA"/>
    <w:rsid w:val="007B2BFF"/>
    <w:rsid w:val="007D6C62"/>
    <w:rsid w:val="007E128C"/>
    <w:rsid w:val="007E310F"/>
    <w:rsid w:val="007E5387"/>
    <w:rsid w:val="00805C0B"/>
    <w:rsid w:val="008215F1"/>
    <w:rsid w:val="00840672"/>
    <w:rsid w:val="00844FC9"/>
    <w:rsid w:val="00845807"/>
    <w:rsid w:val="008716F2"/>
    <w:rsid w:val="00913385"/>
    <w:rsid w:val="009404A6"/>
    <w:rsid w:val="009469C7"/>
    <w:rsid w:val="00986E66"/>
    <w:rsid w:val="009969D8"/>
    <w:rsid w:val="00A06908"/>
    <w:rsid w:val="00A64F64"/>
    <w:rsid w:val="00A71702"/>
    <w:rsid w:val="00A80F1B"/>
    <w:rsid w:val="00A944D9"/>
    <w:rsid w:val="00AA0CBF"/>
    <w:rsid w:val="00AB7CA2"/>
    <w:rsid w:val="00AD5F57"/>
    <w:rsid w:val="00AF0E17"/>
    <w:rsid w:val="00AF1060"/>
    <w:rsid w:val="00B01167"/>
    <w:rsid w:val="00B032B0"/>
    <w:rsid w:val="00B07DAD"/>
    <w:rsid w:val="00B111C4"/>
    <w:rsid w:val="00B14CCC"/>
    <w:rsid w:val="00B3646C"/>
    <w:rsid w:val="00B47584"/>
    <w:rsid w:val="00B63D79"/>
    <w:rsid w:val="00B71FD9"/>
    <w:rsid w:val="00B918F1"/>
    <w:rsid w:val="00BB1B7F"/>
    <w:rsid w:val="00BD542E"/>
    <w:rsid w:val="00C04D4E"/>
    <w:rsid w:val="00C43039"/>
    <w:rsid w:val="00C45735"/>
    <w:rsid w:val="00C52EA2"/>
    <w:rsid w:val="00C5602D"/>
    <w:rsid w:val="00CD459E"/>
    <w:rsid w:val="00CF7AC8"/>
    <w:rsid w:val="00D12B26"/>
    <w:rsid w:val="00D22A68"/>
    <w:rsid w:val="00D25E54"/>
    <w:rsid w:val="00D35BB4"/>
    <w:rsid w:val="00D54339"/>
    <w:rsid w:val="00D62875"/>
    <w:rsid w:val="00D71912"/>
    <w:rsid w:val="00D7271A"/>
    <w:rsid w:val="00D94DC7"/>
    <w:rsid w:val="00DB508C"/>
    <w:rsid w:val="00DF0BB7"/>
    <w:rsid w:val="00DF6D3C"/>
    <w:rsid w:val="00E22F9A"/>
    <w:rsid w:val="00E45D04"/>
    <w:rsid w:val="00E602F2"/>
    <w:rsid w:val="00E94C44"/>
    <w:rsid w:val="00EB2E49"/>
    <w:rsid w:val="00EC44CA"/>
    <w:rsid w:val="00EE5148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prunderwritin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5" ma:contentTypeDescription="Create a new document." ma:contentTypeScope="" ma:versionID="f40866a5f7d69cf7de468ac38d41eb85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922857e663445f52c7a755f54065a049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d8ea93-6798-46b5-9ea0-2458480e1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1dacd-ec4b-4161-9dc9-f7423d3a43ba}" ma:internalName="TaxCatchAll" ma:showField="CatchAllData" ma:web="ea4eae8e-8e57-4633-972c-a35558d11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83829-dd19-4621-bef1-6b4dd5d83462">
      <Terms xmlns="http://schemas.microsoft.com/office/infopath/2007/PartnerControls"/>
    </lcf76f155ced4ddcb4097134ff3c332f>
    <TaxCatchAll xmlns="ea4eae8e-8e57-4633-972c-a35558d116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CCE9A-3AF7-4C4A-91E4-F7461A3C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  <ds:schemaRef ds:uri="27883829-dd19-4621-bef1-6b4dd5d83462"/>
    <ds:schemaRef ds:uri="ea4eae8e-8e57-4633-972c-a35558d116da"/>
  </ds:schemaRefs>
</ds:datastoreItem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4</cp:revision>
  <cp:lastPrinted>2022-04-21T14:59:00Z</cp:lastPrinted>
  <dcterms:created xsi:type="dcterms:W3CDTF">2023-08-02T08:26:00Z</dcterms:created>
  <dcterms:modified xsi:type="dcterms:W3CDTF">2023-08-04T13:40:00Z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  <property fmtid="{D5CDD505-2E9C-101B-9397-08002B2CF9AE}" pid="3" name="MediaServiceImageTags">
    <vt:lpwstr/>
  </property>
</Properties>
</file>